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FRESHPET,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001-36729</w:t>
            </w:r>
          </w:p>
        </w:tc>
        <w:tc>
          <w:tcPr>
            <w:tcW w:w="39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20-1884894</w:t>
            </w:r>
          </w:p>
        </w:tc>
      </w:tr>
      <w:tr>
        <w:trPr>
          <w:trHeight w:val="194"/>
        </w:trPr>
        <w:tc>
          <w:tcPr>
            <w:tcW w:w="33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gridSpan w:val="3"/>
          </w:tcPr>
          <w:p>
            <w:pPr>
              <w:jc w:val="center"/>
              <w:ind w:right="7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56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6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7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42"/>
        </w:trPr>
        <w:tc>
          <w:tcPr>
            <w:tcW w:w="46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1450 US-206</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45"/>
        </w:trPr>
        <w:tc>
          <w:tcPr>
            <w:tcW w:w="46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Bedminster, New Jersey</w:t>
            </w:r>
          </w:p>
        </w:tc>
        <w:tc>
          <w:tcPr>
            <w:tcW w:w="66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2"/>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07921</w:t>
            </w:r>
          </w:p>
        </w:tc>
      </w:tr>
      <w:tr>
        <w:trPr>
          <w:trHeight w:val="238"/>
        </w:trPr>
        <w:tc>
          <w:tcPr>
            <w:tcW w:w="46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201 520-4000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180" w:type="dxa"/>
            <w:vAlign w:val="bottom"/>
            <w:tcBorders>
              <w:top w:val="single" w:sz="8" w:color="auto"/>
            </w:tcBorders>
          </w:tcPr>
          <w:p>
            <w:pPr>
              <w:spacing w:after="0"/>
              <w:rPr>
                <w:sz w:val="16"/>
                <w:szCs w:val="16"/>
                <w:color w:val="auto"/>
              </w:rPr>
            </w:pPr>
          </w:p>
        </w:tc>
        <w:tc>
          <w:tcPr>
            <w:tcW w:w="2580" w:type="dxa"/>
            <w:vAlign w:val="bottom"/>
            <w:tcBorders>
              <w:top w:val="single" w:sz="8" w:color="auto"/>
              <w:right w:val="single" w:sz="8" w:color="auto"/>
            </w:tcBorders>
            <w:gridSpan w:val="2"/>
          </w:tcPr>
          <w:p>
            <w:pPr>
              <w:jc w:val="center"/>
              <w:ind w:right="1220"/>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right w:val="single" w:sz="8" w:color="auto"/>
            </w:tcBorders>
            <w:gridSpan w:val="3"/>
          </w:tcPr>
          <w:p>
            <w:pPr>
              <w:jc w:val="center"/>
              <w:ind w:right="60"/>
              <w:spacing w:after="0" w:line="189"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40"/>
        </w:trPr>
        <w:tc>
          <w:tcPr>
            <w:tcW w:w="1240" w:type="dxa"/>
            <w:vAlign w:val="bottom"/>
            <w:tcBorders>
              <w:left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r>
      <w:tr>
        <w:trPr>
          <w:trHeight w:val="187"/>
        </w:trPr>
        <w:tc>
          <w:tcPr>
            <w:tcW w:w="1240" w:type="dxa"/>
            <w:vAlign w:val="bottom"/>
            <w:tcBorders>
              <w:left w:val="single" w:sz="8" w:color="auto"/>
              <w:bottom w:val="single" w:sz="8" w:color="auto"/>
            </w:tcBorders>
          </w:tcPr>
          <w:p>
            <w:pPr>
              <w:spacing w:after="0"/>
              <w:rPr>
                <w:sz w:val="16"/>
                <w:szCs w:val="16"/>
                <w:color w:val="auto"/>
              </w:rPr>
            </w:pPr>
          </w:p>
        </w:tc>
        <w:tc>
          <w:tcPr>
            <w:tcW w:w="2520" w:type="dxa"/>
            <w:vAlign w:val="bottom"/>
            <w:tcBorders>
              <w:bottom w:val="single" w:sz="8" w:color="auto"/>
              <w:right w:val="single" w:sz="8" w:color="auto"/>
            </w:tcBorders>
            <w:gridSpan w:val="2"/>
          </w:tcPr>
          <w:p>
            <w:pPr>
              <w:jc w:val="center"/>
              <w:ind w:right="1240"/>
              <w:spacing w:after="0" w:line="187" w:lineRule="exact"/>
              <w:rPr>
                <w:sz w:val="20"/>
                <w:szCs w:val="20"/>
                <w:color w:val="auto"/>
              </w:rPr>
            </w:pPr>
            <w:r>
              <w:rPr>
                <w:rFonts w:ascii="Times New Roman" w:cs="Times New Roman" w:eastAsia="Times New Roman" w:hAnsi="Times New Roman"/>
                <w:sz w:val="18"/>
                <w:szCs w:val="18"/>
                <w:color w:val="auto"/>
                <w:w w:val="99"/>
              </w:rPr>
              <w:t>Common Stock</w:t>
            </w:r>
          </w:p>
        </w:tc>
        <w:tc>
          <w:tcPr>
            <w:tcW w:w="1180" w:type="dxa"/>
            <w:vAlign w:val="bottom"/>
            <w:tcBorders>
              <w:bottom w:val="single" w:sz="8" w:color="auto"/>
            </w:tcBorders>
          </w:tcPr>
          <w:p>
            <w:pPr>
              <w:spacing w:after="0"/>
              <w:rPr>
                <w:sz w:val="16"/>
                <w:szCs w:val="16"/>
                <w:color w:val="auto"/>
              </w:rPr>
            </w:pPr>
          </w:p>
        </w:tc>
        <w:tc>
          <w:tcPr>
            <w:tcW w:w="2580" w:type="dxa"/>
            <w:vAlign w:val="bottom"/>
            <w:tcBorders>
              <w:bottom w:val="single" w:sz="8" w:color="auto"/>
              <w:right w:val="single" w:sz="8" w:color="auto"/>
            </w:tcBorders>
            <w:gridSpan w:val="2"/>
          </w:tcPr>
          <w:p>
            <w:pPr>
              <w:jc w:val="center"/>
              <w:ind w:right="1220"/>
              <w:spacing w:after="0" w:line="187" w:lineRule="exact"/>
              <w:rPr>
                <w:sz w:val="20"/>
                <w:szCs w:val="20"/>
                <w:color w:val="auto"/>
              </w:rPr>
            </w:pPr>
            <w:r>
              <w:rPr>
                <w:rFonts w:ascii="Times New Roman" w:cs="Times New Roman" w:eastAsia="Times New Roman" w:hAnsi="Times New Roman"/>
                <w:sz w:val="18"/>
                <w:szCs w:val="18"/>
                <w:color w:val="auto"/>
              </w:rPr>
              <w:t>FRPT</w:t>
            </w: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right w:val="single" w:sz="8" w:color="auto"/>
            </w:tcBorders>
            <w:gridSpan w:val="2"/>
          </w:tcPr>
          <w:p>
            <w:pPr>
              <w:jc w:val="center"/>
              <w:ind w:right="280"/>
              <w:spacing w:after="0" w:line="187" w:lineRule="exact"/>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2026 Annual Meeting of Stockholders (the “Annual Meeting”) of Freshpet, Inc. (the “Company”) held on June 10, 2026, the Company’s stockholders considered three proposals, each of which is described in more detail in the Company’s definitive Proxy Statement filed with the Securities and Exchange Commission on April 27, 2026. The final results for each proposal presented at the Annual Meeting are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i w:val="1"/>
          <w:iCs w:val="1"/>
          <w:color w:val="auto"/>
        </w:rPr>
        <w:t>Election of Directors.</w:t>
      </w:r>
      <w:r>
        <w:rPr>
          <w:rFonts w:ascii="Times New Roman" w:cs="Times New Roman" w:eastAsia="Times New Roman" w:hAnsi="Times New Roman"/>
          <w:sz w:val="18"/>
          <w:szCs w:val="18"/>
          <w:color w:val="auto"/>
        </w:rPr>
        <w:t xml:space="preserve"> All nominees were elected to serve on the Board of Directors pursuant to the following votes: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08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00" w:type="dxa"/>
            <w:vAlign w:val="bottom"/>
            <w:gridSpan w:val="2"/>
          </w:tcPr>
          <w:p>
            <w:pPr>
              <w:spacing w:after="0"/>
              <w:rPr>
                <w:sz w:val="17"/>
                <w:szCs w:val="17"/>
                <w:color w:val="auto"/>
              </w:rPr>
            </w:pPr>
          </w:p>
        </w:tc>
        <w:tc>
          <w:tcPr>
            <w:tcW w:w="246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6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
        </w:trPr>
        <w:tc>
          <w:tcPr>
            <w:tcW w:w="4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Olu Beck</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42,454,032</w:t>
            </w:r>
          </w:p>
        </w:tc>
        <w:tc>
          <w:tcPr>
            <w:tcW w:w="340" w:type="dxa"/>
            <w:vAlign w:val="bottom"/>
          </w:tcPr>
          <w:p>
            <w:pPr>
              <w:spacing w:after="0"/>
              <w:rPr>
                <w:sz w:val="24"/>
                <w:szCs w:val="24"/>
                <w:color w:val="auto"/>
              </w:rPr>
            </w:pPr>
          </w:p>
        </w:tc>
        <w:tc>
          <w:tcPr>
            <w:tcW w:w="14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6"/>
              </w:rPr>
              <w:t>73,236</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51,235</w:t>
            </w:r>
          </w:p>
        </w:tc>
        <w:tc>
          <w:tcPr>
            <w:tcW w:w="460" w:type="dxa"/>
            <w:vAlign w:val="bottom"/>
          </w:tcPr>
          <w:p>
            <w:pPr>
              <w:spacing w:after="0"/>
              <w:rPr>
                <w:sz w:val="24"/>
                <w:szCs w:val="24"/>
                <w:color w:val="auto"/>
              </w:rPr>
            </w:pPr>
          </w:p>
        </w:tc>
      </w:tr>
      <w:tr>
        <w:trPr>
          <w:trHeight w:val="41"/>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David B. Biegger</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42,397,351</w:t>
            </w:r>
          </w:p>
        </w:tc>
        <w:tc>
          <w:tcPr>
            <w:tcW w:w="340" w:type="dxa"/>
            <w:vAlign w:val="bottom"/>
          </w:tcPr>
          <w:p>
            <w:pPr>
              <w:spacing w:after="0"/>
              <w:rPr>
                <w:sz w:val="21"/>
                <w:szCs w:val="21"/>
                <w:color w:val="auto"/>
              </w:rPr>
            </w:pPr>
          </w:p>
        </w:tc>
        <w:tc>
          <w:tcPr>
            <w:tcW w:w="14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6"/>
              </w:rPr>
              <w:t>87,288</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93,864</w:t>
            </w:r>
          </w:p>
        </w:tc>
        <w:tc>
          <w:tcPr>
            <w:tcW w:w="460" w:type="dxa"/>
            <w:vAlign w:val="bottom"/>
          </w:tcPr>
          <w:p>
            <w:pPr>
              <w:spacing w:after="0"/>
              <w:rPr>
                <w:sz w:val="21"/>
                <w:szCs w:val="21"/>
                <w:color w:val="auto"/>
              </w:rPr>
            </w:pPr>
          </w:p>
        </w:tc>
      </w:tr>
      <w:tr>
        <w:trPr>
          <w:trHeight w:val="40"/>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Daryl G. Brewster</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41,902,595</w:t>
            </w:r>
          </w:p>
        </w:tc>
        <w:tc>
          <w:tcPr>
            <w:tcW w:w="340" w:type="dxa"/>
            <w:vAlign w:val="bottom"/>
          </w:tcPr>
          <w:p>
            <w:pPr>
              <w:spacing w:after="0"/>
              <w:rPr>
                <w:sz w:val="21"/>
                <w:szCs w:val="21"/>
                <w:color w:val="auto"/>
              </w:rPr>
            </w:pPr>
          </w:p>
        </w:tc>
        <w:tc>
          <w:tcPr>
            <w:tcW w:w="14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624,884</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51,024</w:t>
            </w:r>
          </w:p>
        </w:tc>
        <w:tc>
          <w:tcPr>
            <w:tcW w:w="460" w:type="dxa"/>
            <w:vAlign w:val="bottom"/>
          </w:tcPr>
          <w:p>
            <w:pPr>
              <w:spacing w:after="0"/>
              <w:rPr>
                <w:sz w:val="21"/>
                <w:szCs w:val="21"/>
                <w:color w:val="auto"/>
              </w:rPr>
            </w:pPr>
          </w:p>
        </w:tc>
      </w:tr>
      <w:tr>
        <w:trPr>
          <w:trHeight w:val="41"/>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William B. Cyr</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42,386,993</w:t>
            </w:r>
          </w:p>
        </w:tc>
        <w:tc>
          <w:tcPr>
            <w:tcW w:w="340" w:type="dxa"/>
            <w:vAlign w:val="bottom"/>
          </w:tcPr>
          <w:p>
            <w:pPr>
              <w:spacing w:after="0"/>
              <w:rPr>
                <w:sz w:val="21"/>
                <w:szCs w:val="21"/>
                <w:color w:val="auto"/>
              </w:rPr>
            </w:pPr>
          </w:p>
        </w:tc>
        <w:tc>
          <w:tcPr>
            <w:tcW w:w="14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140,271</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51,239</w:t>
            </w:r>
          </w:p>
        </w:tc>
        <w:tc>
          <w:tcPr>
            <w:tcW w:w="460" w:type="dxa"/>
            <w:vAlign w:val="bottom"/>
          </w:tcPr>
          <w:p>
            <w:pPr>
              <w:spacing w:after="0"/>
              <w:rPr>
                <w:sz w:val="21"/>
                <w:szCs w:val="21"/>
                <w:color w:val="auto"/>
              </w:rPr>
            </w:pPr>
          </w:p>
        </w:tc>
      </w:tr>
      <w:tr>
        <w:trPr>
          <w:trHeight w:val="40"/>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Walter N. George III</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42,195,460</w:t>
            </w:r>
          </w:p>
        </w:tc>
        <w:tc>
          <w:tcPr>
            <w:tcW w:w="340" w:type="dxa"/>
            <w:vAlign w:val="bottom"/>
          </w:tcPr>
          <w:p>
            <w:pPr>
              <w:spacing w:after="0"/>
              <w:rPr>
                <w:sz w:val="21"/>
                <w:szCs w:val="21"/>
                <w:color w:val="auto"/>
              </w:rPr>
            </w:pPr>
          </w:p>
        </w:tc>
        <w:tc>
          <w:tcPr>
            <w:tcW w:w="14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289,450</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93,593</w:t>
            </w:r>
          </w:p>
        </w:tc>
        <w:tc>
          <w:tcPr>
            <w:tcW w:w="460" w:type="dxa"/>
            <w:vAlign w:val="bottom"/>
          </w:tcPr>
          <w:p>
            <w:pPr>
              <w:spacing w:after="0"/>
              <w:rPr>
                <w:sz w:val="21"/>
                <w:szCs w:val="21"/>
                <w:color w:val="auto"/>
              </w:rPr>
            </w:pPr>
          </w:p>
        </w:tc>
      </w:tr>
      <w:tr>
        <w:trPr>
          <w:trHeight w:val="41"/>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Jacki S. Kelley</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42,397,616</w:t>
            </w:r>
          </w:p>
        </w:tc>
        <w:tc>
          <w:tcPr>
            <w:tcW w:w="340" w:type="dxa"/>
            <w:vAlign w:val="bottom"/>
          </w:tcPr>
          <w:p>
            <w:pPr>
              <w:spacing w:after="0"/>
              <w:rPr>
                <w:sz w:val="21"/>
                <w:szCs w:val="21"/>
                <w:color w:val="auto"/>
              </w:rPr>
            </w:pPr>
          </w:p>
        </w:tc>
        <w:tc>
          <w:tcPr>
            <w:tcW w:w="14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129,971</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50,916</w:t>
            </w:r>
          </w:p>
        </w:tc>
        <w:tc>
          <w:tcPr>
            <w:tcW w:w="460" w:type="dxa"/>
            <w:vAlign w:val="bottom"/>
          </w:tcPr>
          <w:p>
            <w:pPr>
              <w:spacing w:after="0"/>
              <w:rPr>
                <w:sz w:val="21"/>
                <w:szCs w:val="21"/>
                <w:color w:val="auto"/>
              </w:rPr>
            </w:pPr>
          </w:p>
        </w:tc>
      </w:tr>
      <w:tr>
        <w:trPr>
          <w:trHeight w:val="40"/>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Lauri Kien Kotcher</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42,064,536</w:t>
            </w:r>
          </w:p>
        </w:tc>
        <w:tc>
          <w:tcPr>
            <w:tcW w:w="340" w:type="dxa"/>
            <w:vAlign w:val="bottom"/>
          </w:tcPr>
          <w:p>
            <w:pPr>
              <w:spacing w:after="0"/>
              <w:rPr>
                <w:sz w:val="21"/>
                <w:szCs w:val="21"/>
                <w:color w:val="auto"/>
              </w:rPr>
            </w:pPr>
          </w:p>
        </w:tc>
        <w:tc>
          <w:tcPr>
            <w:tcW w:w="14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338,968</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174,999</w:t>
            </w:r>
          </w:p>
        </w:tc>
        <w:tc>
          <w:tcPr>
            <w:tcW w:w="460" w:type="dxa"/>
            <w:vAlign w:val="bottom"/>
          </w:tcPr>
          <w:p>
            <w:pPr>
              <w:spacing w:after="0"/>
              <w:rPr>
                <w:sz w:val="21"/>
                <w:szCs w:val="21"/>
                <w:color w:val="auto"/>
              </w:rPr>
            </w:pPr>
          </w:p>
        </w:tc>
      </w:tr>
      <w:tr>
        <w:trPr>
          <w:trHeight w:val="40"/>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Timothy R. McLevish</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42,377,806</w:t>
            </w:r>
          </w:p>
        </w:tc>
        <w:tc>
          <w:tcPr>
            <w:tcW w:w="340" w:type="dxa"/>
            <w:vAlign w:val="bottom"/>
          </w:tcPr>
          <w:p>
            <w:pPr>
              <w:spacing w:after="0"/>
              <w:rPr>
                <w:sz w:val="21"/>
                <w:szCs w:val="21"/>
                <w:color w:val="auto"/>
              </w:rPr>
            </w:pPr>
          </w:p>
        </w:tc>
        <w:tc>
          <w:tcPr>
            <w:tcW w:w="14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104,459</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96,238</w:t>
            </w:r>
          </w:p>
        </w:tc>
        <w:tc>
          <w:tcPr>
            <w:tcW w:w="460" w:type="dxa"/>
            <w:vAlign w:val="bottom"/>
          </w:tcPr>
          <w:p>
            <w:pPr>
              <w:spacing w:after="0"/>
              <w:rPr>
                <w:sz w:val="21"/>
                <w:szCs w:val="21"/>
                <w:color w:val="auto"/>
              </w:rPr>
            </w:pPr>
          </w:p>
        </w:tc>
      </w:tr>
      <w:tr>
        <w:trPr>
          <w:trHeight w:val="41"/>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Leta D. Priest</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41,918,540</w:t>
            </w:r>
          </w:p>
        </w:tc>
        <w:tc>
          <w:tcPr>
            <w:tcW w:w="340" w:type="dxa"/>
            <w:vAlign w:val="bottom"/>
          </w:tcPr>
          <w:p>
            <w:pPr>
              <w:spacing w:after="0"/>
              <w:rPr>
                <w:sz w:val="21"/>
                <w:szCs w:val="21"/>
                <w:color w:val="auto"/>
              </w:rPr>
            </w:pPr>
          </w:p>
        </w:tc>
        <w:tc>
          <w:tcPr>
            <w:tcW w:w="14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566,406</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93,557</w:t>
            </w:r>
          </w:p>
        </w:tc>
        <w:tc>
          <w:tcPr>
            <w:tcW w:w="460" w:type="dxa"/>
            <w:vAlign w:val="bottom"/>
          </w:tcPr>
          <w:p>
            <w:pPr>
              <w:spacing w:after="0"/>
              <w:rPr>
                <w:sz w:val="21"/>
                <w:szCs w:val="21"/>
                <w:color w:val="auto"/>
              </w:rPr>
            </w:pPr>
          </w:p>
        </w:tc>
      </w:tr>
      <w:tr>
        <w:trPr>
          <w:trHeight w:val="40"/>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Joseph E. Scalzo</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42,108,117</w:t>
            </w:r>
          </w:p>
        </w:tc>
        <w:tc>
          <w:tcPr>
            <w:tcW w:w="340" w:type="dxa"/>
            <w:vAlign w:val="bottom"/>
          </w:tcPr>
          <w:p>
            <w:pPr>
              <w:spacing w:after="0"/>
              <w:rPr>
                <w:sz w:val="21"/>
                <w:szCs w:val="21"/>
                <w:color w:val="auto"/>
              </w:rPr>
            </w:pPr>
          </w:p>
        </w:tc>
        <w:tc>
          <w:tcPr>
            <w:tcW w:w="14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376,793</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93,593</w:t>
            </w:r>
          </w:p>
        </w:tc>
        <w:tc>
          <w:tcPr>
            <w:tcW w:w="460" w:type="dxa"/>
            <w:vAlign w:val="bottom"/>
          </w:tcPr>
          <w:p>
            <w:pPr>
              <w:spacing w:after="0"/>
              <w:rPr>
                <w:sz w:val="21"/>
                <w:szCs w:val="21"/>
                <w:color w:val="auto"/>
              </w:rPr>
            </w:pPr>
          </w:p>
        </w:tc>
      </w:tr>
      <w:tr>
        <w:trPr>
          <w:trHeight w:val="41"/>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Craig D. Steeneck</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42,281,854</w:t>
            </w:r>
          </w:p>
        </w:tc>
        <w:tc>
          <w:tcPr>
            <w:tcW w:w="340" w:type="dxa"/>
            <w:vAlign w:val="bottom"/>
          </w:tcPr>
          <w:p>
            <w:pPr>
              <w:spacing w:after="0"/>
              <w:rPr>
                <w:sz w:val="21"/>
                <w:szCs w:val="21"/>
                <w:color w:val="auto"/>
              </w:rPr>
            </w:pPr>
          </w:p>
        </w:tc>
        <w:tc>
          <w:tcPr>
            <w:tcW w:w="14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202,954</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93,695</w:t>
            </w:r>
          </w:p>
        </w:tc>
        <w:tc>
          <w:tcPr>
            <w:tcW w:w="460" w:type="dxa"/>
            <w:vAlign w:val="bottom"/>
          </w:tcPr>
          <w:p>
            <w:pPr>
              <w:spacing w:after="0"/>
              <w:rPr>
                <w:sz w:val="21"/>
                <w:szCs w:val="21"/>
                <w:color w:val="auto"/>
              </w:rPr>
            </w:pPr>
          </w:p>
        </w:tc>
      </w:tr>
      <w:tr>
        <w:trPr>
          <w:trHeight w:val="40"/>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David J. West</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42,373,592</w:t>
            </w:r>
          </w:p>
        </w:tc>
        <w:tc>
          <w:tcPr>
            <w:tcW w:w="340" w:type="dxa"/>
            <w:vAlign w:val="bottom"/>
          </w:tcPr>
          <w:p>
            <w:pPr>
              <w:spacing w:after="0"/>
              <w:rPr>
                <w:sz w:val="21"/>
                <w:szCs w:val="21"/>
                <w:color w:val="auto"/>
              </w:rPr>
            </w:pPr>
          </w:p>
        </w:tc>
        <w:tc>
          <w:tcPr>
            <w:tcW w:w="14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5"/>
              </w:rPr>
              <w:t>111,317</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93,594</w:t>
            </w:r>
          </w:p>
        </w:tc>
        <w:tc>
          <w:tcPr>
            <w:tcW w:w="460" w:type="dxa"/>
            <w:vAlign w:val="bottom"/>
          </w:tcPr>
          <w:p>
            <w:pPr>
              <w:spacing w:after="0"/>
              <w:rPr>
                <w:sz w:val="21"/>
                <w:szCs w:val="21"/>
                <w:color w:val="auto"/>
              </w:rPr>
            </w:pPr>
          </w:p>
        </w:tc>
      </w:tr>
      <w:tr>
        <w:trPr>
          <w:trHeight w:val="41"/>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2,475,309 broker non-votes with respect to this matter.</w:t>
      </w:r>
    </w:p>
    <w:p>
      <w:pPr>
        <w:spacing w:after="0" w:line="221" w:lineRule="exact"/>
        <w:rPr>
          <w:sz w:val="20"/>
          <w:szCs w:val="20"/>
          <w:color w:val="auto"/>
        </w:rPr>
      </w:pPr>
    </w:p>
    <w:p>
      <w:pPr>
        <w:ind w:right="20" w:firstLine="8"/>
        <w:spacing w:after="0" w:line="286" w:lineRule="auto"/>
        <w:tabs>
          <w:tab w:leader="none" w:pos="2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Ratification of Appointment of Independent Registered Public Accounting Firm. </w:t>
      </w:r>
      <w:r>
        <w:rPr>
          <w:rFonts w:ascii="Times New Roman" w:cs="Times New Roman" w:eastAsia="Times New Roman" w:hAnsi="Times New Roman"/>
          <w:sz w:val="18"/>
          <w:szCs w:val="18"/>
          <w:color w:val="auto"/>
        </w:rPr>
        <w:t>The appointment of KPMG LLP as the Company’s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for 2026 was ratified with the following votes: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8"/>
                <w:szCs w:val="18"/>
                <w:color w:val="auto"/>
              </w:rPr>
            </w:pPr>
          </w:p>
        </w:tc>
        <w:tc>
          <w:tcPr>
            <w:tcW w:w="3520" w:type="dxa"/>
            <w:vAlign w:val="bottom"/>
            <w:gridSpan w:val="2"/>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80" w:type="dxa"/>
            <w:vAlign w:val="bottom"/>
            <w:gridSpan w:val="2"/>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w:t>
            </w:r>
          </w:p>
        </w:tc>
      </w:tr>
      <w:tr>
        <w:trPr>
          <w:trHeight w:val="20"/>
        </w:trPr>
        <w:tc>
          <w:tcPr>
            <w:tcW w:w="1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318"/>
        </w:trPr>
        <w:tc>
          <w:tcPr>
            <w:tcW w:w="5200" w:type="dxa"/>
            <w:vAlign w:val="bottom"/>
            <w:gridSpan w:val="3"/>
          </w:tcPr>
          <w:p>
            <w:pPr>
              <w:jc w:val="right"/>
              <w:ind w:right="2920"/>
              <w:spacing w:after="0"/>
              <w:rPr>
                <w:sz w:val="20"/>
                <w:szCs w:val="20"/>
                <w:color w:val="auto"/>
              </w:rPr>
            </w:pPr>
            <w:r>
              <w:rPr>
                <w:rFonts w:ascii="Times New Roman" w:cs="Times New Roman" w:eastAsia="Times New Roman" w:hAnsi="Times New Roman"/>
                <w:sz w:val="18"/>
                <w:szCs w:val="18"/>
                <w:color w:val="auto"/>
              </w:rPr>
              <w:t>44,890,659</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115,995</w:t>
            </w:r>
          </w:p>
        </w:tc>
        <w:tc>
          <w:tcPr>
            <w:tcW w:w="296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47,158</w:t>
            </w:r>
          </w:p>
        </w:tc>
      </w:tr>
      <w:tr>
        <w:trPr>
          <w:trHeight w:val="47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 were no broker non-votes with respect to this matter.</w:t>
            </w:r>
          </w:p>
        </w:tc>
        <w:tc>
          <w:tcPr>
            <w:tcW w:w="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94" w:lineRule="exact"/>
        <w:rPr>
          <w:sz w:val="20"/>
          <w:szCs w:val="20"/>
          <w:color w:val="auto"/>
        </w:rPr>
      </w:pPr>
    </w:p>
    <w:p>
      <w:pPr>
        <w:ind w:firstLine="8"/>
        <w:spacing w:after="0" w:line="286" w:lineRule="auto"/>
        <w:tabs>
          <w:tab w:leader="none" w:pos="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Non-Binding Advisory Vote to Approve the Compensation of the Company’s Named Executive Officers. </w:t>
      </w:r>
      <w:r>
        <w:rPr>
          <w:rFonts w:ascii="Times New Roman" w:cs="Times New Roman" w:eastAsia="Times New Roman" w:hAnsi="Times New Roman"/>
          <w:sz w:val="18"/>
          <w:szCs w:val="18"/>
          <w:color w:val="auto"/>
        </w:rPr>
        <w:t>The executive compensation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named executive officers was approved with the following non-binding advisory votes: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8"/>
                <w:szCs w:val="18"/>
                <w:color w:val="auto"/>
              </w:rPr>
            </w:pPr>
          </w:p>
        </w:tc>
        <w:tc>
          <w:tcPr>
            <w:tcW w:w="3520" w:type="dxa"/>
            <w:vAlign w:val="bottom"/>
            <w:gridSpan w:val="2"/>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80" w:type="dxa"/>
            <w:vAlign w:val="bottom"/>
            <w:gridSpan w:val="2"/>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26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7"/>
              </w:rPr>
              <w:t>ABSTAIN</w:t>
            </w:r>
          </w:p>
        </w:tc>
      </w:tr>
      <w:tr>
        <w:trPr>
          <w:trHeight w:val="20"/>
        </w:trPr>
        <w:tc>
          <w:tcPr>
            <w:tcW w:w="1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8"/>
        </w:trPr>
        <w:tc>
          <w:tcPr>
            <w:tcW w:w="5200" w:type="dxa"/>
            <w:vAlign w:val="bottom"/>
            <w:gridSpan w:val="3"/>
          </w:tcPr>
          <w:p>
            <w:pPr>
              <w:jc w:val="right"/>
              <w:ind w:right="2920"/>
              <w:spacing w:after="0"/>
              <w:rPr>
                <w:sz w:val="20"/>
                <w:szCs w:val="20"/>
                <w:color w:val="auto"/>
              </w:rPr>
            </w:pPr>
            <w:r>
              <w:rPr>
                <w:rFonts w:ascii="Times New Roman" w:cs="Times New Roman" w:eastAsia="Times New Roman" w:hAnsi="Times New Roman"/>
                <w:sz w:val="18"/>
                <w:szCs w:val="18"/>
                <w:color w:val="auto"/>
              </w:rPr>
              <w:t>40,844,496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1,682,726</w:t>
            </w:r>
          </w:p>
        </w:tc>
        <w:tc>
          <w:tcPr>
            <w:tcW w:w="296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51,281</w:t>
            </w:r>
          </w:p>
        </w:tc>
        <w:tc>
          <w:tcPr>
            <w:tcW w:w="1480" w:type="dxa"/>
            <w:vAlign w:val="bottom"/>
          </w:tcPr>
          <w:p>
            <w:pPr>
              <w:spacing w:after="0"/>
              <w:rPr>
                <w:sz w:val="24"/>
                <w:szCs w:val="24"/>
                <w:color w:val="auto"/>
              </w:rPr>
            </w:pPr>
          </w:p>
        </w:tc>
      </w:tr>
      <w:tr>
        <w:trPr>
          <w:trHeight w:val="472"/>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 were 2,475,309 broker non-votes with respect to this matter.</w:t>
            </w:r>
          </w:p>
        </w:tc>
        <w:tc>
          <w:tcPr>
            <w:tcW w:w="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2"/>
        </w:trPr>
        <w:tc>
          <w:tcPr>
            <w:tcW w:w="1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FRESHPET,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Lisa Alexander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Lisa Alexander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2026-06-11T15:14:04Z</dcterms:created>
  <dcterms:modified xsi:type="dcterms:W3CDTF">2026-06-11T15:14:04Z</dcterms:modified>
</cp:coreProperties>
</file>